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b/>
          <w:b/>
          <w:sz w:val="28"/>
          <w:szCs w:val="28"/>
        </w:rPr>
      </w:pPr>
      <w:r>
        <w:rPr>
          <w:rFonts w:ascii="PT Astra Serif" w:hAnsi="PT Astra Serif"/>
          <w:b/>
          <w:sz w:val="28"/>
          <w:szCs w:val="28"/>
        </w:rPr>
        <w:t xml:space="preserve">Информация по обработкам полей </w:t>
      </w:r>
    </w:p>
    <w:p>
      <w:pPr>
        <w:pStyle w:val="Normal"/>
        <w:jc w:val="center"/>
        <w:rPr>
          <w:rFonts w:ascii="PT Astra Serif" w:hAnsi="PT Astra Serif"/>
          <w:b/>
          <w:b/>
          <w:sz w:val="28"/>
          <w:szCs w:val="28"/>
        </w:rPr>
      </w:pPr>
      <w:r>
        <w:rPr>
          <w:rFonts w:ascii="PT Astra Serif" w:hAnsi="PT Astra Serif"/>
          <w:b/>
          <w:sz w:val="28"/>
          <w:szCs w:val="28"/>
        </w:rPr>
        <w:t>Щекинский район</w:t>
      </w:r>
    </w:p>
    <w:p>
      <w:pPr>
        <w:pStyle w:val="Normal"/>
        <w:jc w:val="center"/>
        <w:rPr>
          <w:rFonts w:ascii="PT Astra Serif" w:hAnsi="PT Astra Serif"/>
          <w:b/>
          <w:b/>
          <w:sz w:val="28"/>
          <w:szCs w:val="28"/>
        </w:rPr>
      </w:pPr>
      <w:r>
        <w:rPr>
          <w:rFonts w:ascii="PT Astra Serif" w:hAnsi="PT Astra Serif"/>
          <w:b/>
          <w:sz w:val="28"/>
          <w:szCs w:val="28"/>
        </w:rPr>
        <w:t>(район)</w:t>
      </w:r>
    </w:p>
    <w:p>
      <w:pPr>
        <w:pStyle w:val="Normal"/>
        <w:jc w:val="right"/>
        <w:rPr>
          <w:rFonts w:ascii="PT Astra Serif" w:hAnsi="PT Astra Serif"/>
          <w:b/>
          <w:b/>
        </w:rPr>
      </w:pPr>
      <w:r>
        <w:rPr>
          <w:rFonts w:ascii="PT Astra Serif" w:hAnsi="PT Astra Serif"/>
          <w:b/>
        </w:rPr>
      </w:r>
    </w:p>
    <w:p>
      <w:pPr>
        <w:pStyle w:val="Normal"/>
        <w:jc w:val="right"/>
        <w:rPr>
          <w:rFonts w:ascii="PT Astra Serif" w:hAnsi="PT Astra Serif"/>
          <w:b/>
          <w:b/>
        </w:rPr>
      </w:pPr>
      <w:r>
        <w:rPr>
          <w:rFonts w:ascii="PT Astra Serif" w:hAnsi="PT Astra Serif"/>
          <w:b/>
        </w:rPr>
        <w:t xml:space="preserve">По состоянию на </w:t>
      </w:r>
      <w:r>
        <w:rPr>
          <w:rFonts w:eastAsia="Times New Roman" w:cs="Times New Roman" w:ascii="PT Astra Serif" w:hAnsi="PT Astra Serif"/>
          <w:b/>
          <w:color w:val="auto"/>
          <w:kern w:val="0"/>
          <w:sz w:val="24"/>
          <w:szCs w:val="24"/>
          <w:lang w:val="ru-RU" w:eastAsia="ru-RU" w:bidi="ar-SA"/>
        </w:rPr>
        <w:t>10</w:t>
      </w:r>
      <w:r>
        <w:rPr>
          <w:rFonts w:ascii="PT Astra Serif" w:hAnsi="PT Astra Serif"/>
          <w:b/>
          <w:lang w:val="ru-RU"/>
        </w:rPr>
        <w:t>.05.2023</w:t>
      </w:r>
    </w:p>
    <w:p>
      <w:pPr>
        <w:pStyle w:val="Normal"/>
        <w:jc w:val="right"/>
        <w:rPr>
          <w:rFonts w:ascii="PT Astra Serif" w:hAnsi="PT Astra Serif"/>
          <w:b/>
          <w:b/>
        </w:rPr>
      </w:pPr>
      <w:r>
        <w:rPr>
          <w:rFonts w:ascii="PT Astra Serif" w:hAnsi="PT Astra Serif"/>
          <w:b/>
        </w:rPr>
      </w:r>
    </w:p>
    <w:tbl>
      <w:tblPr>
        <w:tblW w:w="15300" w:type="dxa"/>
        <w:jc w:val="left"/>
        <w:tblInd w:w="-464" w:type="dxa"/>
        <w:tblLayout w:type="fixed"/>
        <w:tblCellMar>
          <w:top w:w="0" w:type="dxa"/>
          <w:left w:w="108" w:type="dxa"/>
          <w:bottom w:w="0" w:type="dxa"/>
          <w:right w:w="108" w:type="dxa"/>
        </w:tblCellMar>
        <w:tblLook w:firstRow="1" w:noVBand="1" w:lastRow="0" w:firstColumn="1" w:lastColumn="0" w:noHBand="0" w:val="04a0"/>
      </w:tblPr>
      <w:tblGrid>
        <w:gridCol w:w="1874"/>
        <w:gridCol w:w="1591"/>
        <w:gridCol w:w="1530"/>
        <w:gridCol w:w="5099"/>
        <w:gridCol w:w="1876"/>
        <w:gridCol w:w="1365"/>
        <w:gridCol w:w="1964"/>
      </w:tblGrid>
      <w:tr>
        <w:trPr>
          <w:trHeight w:val="1249" w:hRule="atLeast"/>
        </w:trPr>
        <w:tc>
          <w:tcPr>
            <w:tcW w:w="1874" w:type="dxa"/>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b/>
                <w:b/>
              </w:rPr>
            </w:pPr>
            <w:r>
              <w:rPr>
                <w:b/>
              </w:rPr>
              <w:t>Наименование организации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Дата проведения обработки </w:t>
            </w:r>
          </w:p>
          <w:p>
            <w:pPr>
              <w:pStyle w:val="Normal"/>
              <w:widowControl w:val="false"/>
              <w:jc w:val="center"/>
              <w:rPr>
                <w:rFonts w:ascii="Times New Roman" w:hAnsi="Times New Roman"/>
                <w:b/>
                <w:b/>
              </w:rPr>
            </w:pPr>
            <w:r>
              <w:rPr>
                <w:b/>
              </w:rPr>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Время проведения обработки</w:t>
            </w:r>
          </w:p>
        </w:tc>
        <w:tc>
          <w:tcPr>
            <w:tcW w:w="50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Наименование близлежащих  населенных пунктов, </w:t>
            </w:r>
          </w:p>
          <w:p>
            <w:pPr>
              <w:pStyle w:val="Normal"/>
              <w:widowControl w:val="false"/>
              <w:jc w:val="center"/>
              <w:rPr>
                <w:rFonts w:ascii="Times New Roman" w:hAnsi="Times New Roman"/>
                <w:b/>
                <w:b/>
              </w:rPr>
            </w:pPr>
            <w:r>
              <w:rPr>
                <w:b/>
              </w:rPr>
              <w:t xml:space="preserve">№№ </w:t>
            </w:r>
            <w:r>
              <w:rPr>
                <w:b/>
              </w:rPr>
              <w:t xml:space="preserve">полей (или кадастровые номера) </w:t>
            </w:r>
          </w:p>
        </w:tc>
        <w:tc>
          <w:tcPr>
            <w:tcW w:w="3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Используемый препарат (пестицид, агрохимикат)</w:t>
            </w:r>
          </w:p>
          <w:p>
            <w:pPr>
              <w:pStyle w:val="Normal"/>
              <w:widowControl w:val="false"/>
              <w:jc w:val="center"/>
              <w:rPr>
                <w:rFonts w:ascii="Times New Roman" w:hAnsi="Times New Roman"/>
                <w:b/>
                <w:b/>
              </w:rPr>
            </w:pPr>
            <w:r>
              <w:rPr>
                <w:b/>
              </w:rPr>
            </w:r>
          </w:p>
        </w:tc>
        <w:tc>
          <w:tcPr>
            <w:tcW w:w="1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Контактное лицо </w:t>
            </w:r>
          </w:p>
          <w:p>
            <w:pPr>
              <w:pStyle w:val="Normal"/>
              <w:widowControl w:val="false"/>
              <w:jc w:val="center"/>
              <w:rPr>
                <w:rFonts w:ascii="Times New Roman" w:hAnsi="Times New Roman"/>
                <w:b/>
                <w:b/>
              </w:rPr>
            </w:pPr>
            <w:r>
              <w:rPr>
                <w:b/>
              </w:rPr>
              <w:t>(ФИО, телефон)</w:t>
            </w:r>
          </w:p>
        </w:tc>
      </w:tr>
      <w:tr>
        <w:trPr>
          <w:trHeight w:val="647" w:hRule="atLeast"/>
        </w:trPr>
        <w:tc>
          <w:tcPr>
            <w:tcW w:w="1874"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50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наименование</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класс опасности</w:t>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r>
          </w:p>
        </w:tc>
      </w:tr>
      <w:tr>
        <w:trPr>
          <w:trHeight w:val="616" w:hRule="atLeast"/>
        </w:trPr>
        <w:tc>
          <w:tcPr>
            <w:tcW w:w="1874"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lang w:val="en-US"/>
              </w:rPr>
              <w:t>ООО «ПХ «Лазаревское»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eastAsia="Times New Roman" w:cs="Times New Roman"/>
                <w:color w:val="auto"/>
                <w:kern w:val="0"/>
                <w:sz w:val="24"/>
                <w:szCs w:val="24"/>
                <w:lang w:val="ru-RU" w:eastAsia="ru-RU" w:bidi="ar-SA"/>
              </w:rPr>
              <w:t>1</w:t>
            </w:r>
            <w:r>
              <w:rPr>
                <w:rFonts w:eastAsia="Times New Roman" w:cs="Times New Roman"/>
                <w:color w:val="auto"/>
                <w:kern w:val="0"/>
                <w:sz w:val="24"/>
                <w:szCs w:val="24"/>
                <w:lang w:val="ru-RU" w:eastAsia="ru-RU" w:bidi="ar-SA"/>
              </w:rPr>
              <w:t>4</w:t>
            </w:r>
            <w:r>
              <w:rPr>
                <w:lang w:val="ru-RU"/>
              </w:rPr>
              <w:t xml:space="preserve">.05.2023 -    </w:t>
            </w:r>
            <w:r>
              <w:rPr>
                <w:rFonts w:eastAsia="Times New Roman" w:cs="Times New Roman"/>
                <w:color w:val="auto"/>
                <w:kern w:val="0"/>
                <w:sz w:val="24"/>
                <w:szCs w:val="24"/>
                <w:lang w:val="ru-RU" w:eastAsia="ru-RU" w:bidi="ar-SA"/>
              </w:rPr>
              <w:t>1</w:t>
            </w:r>
            <w:r>
              <w:rPr>
                <w:rFonts w:eastAsia="Times New Roman" w:cs="Times New Roman"/>
                <w:color w:val="auto"/>
                <w:kern w:val="0"/>
                <w:sz w:val="24"/>
                <w:szCs w:val="24"/>
                <w:lang w:val="ru-RU" w:eastAsia="ru-RU" w:bidi="ar-SA"/>
              </w:rPr>
              <w:t>6</w:t>
            </w:r>
            <w:r>
              <w:rPr>
                <w:lang w:val="ru-RU"/>
              </w:rPr>
              <w:t>.05.2023</w:t>
            </w:r>
          </w:p>
          <w:p>
            <w:pPr>
              <w:pStyle w:val="Normal"/>
              <w:widowControl w:val="false"/>
              <w:jc w:val="center"/>
              <w:rPr>
                <w:rFonts w:ascii="Times New Roman" w:hAnsi="Times New Roman"/>
              </w:rPr>
            </w:pPr>
            <w:r>
              <w:rPr/>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Ночь</w:t>
            </w:r>
          </w:p>
        </w:tc>
        <w:tc>
          <w:tcPr>
            <w:tcW w:w="5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0"/>
                <w:szCs w:val="20"/>
              </w:rPr>
            </w:pPr>
            <w:r>
              <w:rPr>
                <w:b/>
                <w:bCs/>
                <w:sz w:val="20"/>
                <w:szCs w:val="20"/>
              </w:rPr>
              <w:t>Щекинский район</w:t>
            </w:r>
            <w:r>
              <w:rPr>
                <w:sz w:val="20"/>
                <w:szCs w:val="20"/>
              </w:rPr>
              <w:t xml:space="preserve">: </w:t>
            </w:r>
            <w:r>
              <w:rPr>
                <w:sz w:val="20"/>
                <w:szCs w:val="20"/>
                <w:shd w:fill="auto" w:val="clear"/>
              </w:rPr>
              <w:t xml:space="preserve">д.Бегичево, </w:t>
            </w:r>
            <w:r>
              <w:rPr>
                <w:color w:val="000000"/>
                <w:sz w:val="20"/>
                <w:szCs w:val="20"/>
                <w:shd w:fill="auto" w:val="clear"/>
              </w:rPr>
              <w:t xml:space="preserve">д.Белогузово, д.Богородицкие Дворики, д.Большая Кожуховка, д.Верхнее Гайково, д.Верхние Суры,   с.Голощапово,  д.Горячкино, д.Гремячий Колодезь,  д.Грецовка (МО </w:t>
            </w:r>
            <w:r>
              <w:rPr>
                <w:rFonts w:eastAsia="Times New Roman" w:cs="Times New Roman"/>
                <w:color w:val="000000"/>
                <w:kern w:val="0"/>
                <w:sz w:val="20"/>
                <w:szCs w:val="20"/>
                <w:shd w:fill="auto" w:val="clear"/>
                <w:lang w:val="ru-RU" w:eastAsia="ru-RU" w:bidi="ar-SA"/>
              </w:rPr>
              <w:t>Лазаревское</w:t>
            </w:r>
            <w:r>
              <w:rPr>
                <w:color w:val="000000"/>
                <w:sz w:val="20"/>
                <w:szCs w:val="20"/>
                <w:shd w:fill="auto" w:val="clear"/>
              </w:rPr>
              <w:t>), д.Гришинка,  хутор Елизаветинский,   п.Заря, с. Змеево, д. Зубаревка, п.Зыково, д.Казачье, с.Карамышево,  д.Красные Холмы,  д.Крутовка (МО Лазаревское),  д.Крутое, п.Лазарево, ст.Лазарево, с.Лапотково, с.Липово,  д.Ломовка, д.Лукино, д.Львово, с.Ляпищево, д.Малая Кожуховка,  д.Мармыжи, д.Михайловка, д.Мясновка, д.Натальевка, д. Наумовка д.Нижнее Гайково, д.Нижние Суры, с.Новоникольское,  д.Новые Выселки,  п.Огаревка, д.Огаревка,  с.Петровское, с.Пирогово 1-е, с.Пирогово 2-е, с.Пирогово-Зыково,  п.Приволье,</w:t>
            </w:r>
          </w:p>
          <w:p>
            <w:pPr>
              <w:pStyle w:val="Normal"/>
              <w:widowControl w:val="false"/>
              <w:spacing w:lineRule="auto" w:line="240"/>
              <w:jc w:val="left"/>
              <w:rPr>
                <w:sz w:val="20"/>
                <w:szCs w:val="20"/>
              </w:rPr>
            </w:pPr>
            <w:r>
              <w:rPr>
                <w:color w:val="000000"/>
                <w:sz w:val="20"/>
                <w:szCs w:val="20"/>
                <w:shd w:fill="auto" w:val="clear"/>
              </w:rPr>
              <w:t>п.Прощенный Колодезь, с.Пруды, п.Пруды (МО Лазаревское),   д.Пушкино, п.Раздолье,  с.Ржаво, с.Ровки  д.Рязановка,  д.Сатинка, хутор Семеновский, д.Скворцово,  д.Солова, д.Сорочинка,   д.Старые Выселки,  д.Стублевка, ст.Сумароково, д.Сумароково,  д.Фоминка, с.Царево, п.Центральный, д.Чермошня,   д.Шмыгаловка.</w:t>
            </w:r>
          </w:p>
          <w:p>
            <w:pPr>
              <w:pStyle w:val="Normal"/>
              <w:widowControl w:val="false"/>
              <w:spacing w:lineRule="auto" w:line="240"/>
              <w:jc w:val="left"/>
              <w:rPr/>
            </w:pPr>
            <w:r>
              <w:rPr>
                <w:rStyle w:val="Style14"/>
                <w:b/>
                <w:bCs/>
                <w:color w:val="000000"/>
                <w:sz w:val="20"/>
                <w:szCs w:val="20"/>
                <w:shd w:fill="auto" w:val="clear"/>
              </w:rPr>
              <w:t>Киреевский район</w:t>
            </w:r>
            <w:r>
              <w:rPr>
                <w:color w:val="000000"/>
                <w:sz w:val="20"/>
                <w:szCs w:val="20"/>
                <w:shd w:fill="auto" w:val="clear"/>
              </w:rPr>
              <w:t>: с. Крутицы, д. Луговая, д.Марьино, д.Уткино, д.Шондрово.</w:t>
            </w:r>
          </w:p>
          <w:p>
            <w:pPr>
              <w:pStyle w:val="Normal"/>
              <w:widowControl w:val="false"/>
              <w:spacing w:lineRule="auto" w:line="240"/>
              <w:jc w:val="left"/>
              <w:rPr/>
            </w:pPr>
            <w:r>
              <w:rPr>
                <w:rStyle w:val="Style14"/>
                <w:b/>
                <w:bCs/>
                <w:color w:val="000000"/>
                <w:sz w:val="20"/>
                <w:szCs w:val="20"/>
                <w:shd w:fill="auto" w:val="clear"/>
              </w:rPr>
              <w:t>Тепло-Огаревский район</w:t>
            </w:r>
            <w:r>
              <w:rPr>
                <w:rStyle w:val="Style14"/>
                <w:b w:val="false"/>
                <w:bCs/>
                <w:color w:val="000000"/>
                <w:sz w:val="20"/>
                <w:szCs w:val="20"/>
                <w:shd w:fill="auto" w:val="clear"/>
              </w:rPr>
              <w:t xml:space="preserve">: </w:t>
            </w:r>
            <w:r>
              <w:rPr>
                <w:color w:val="000000"/>
                <w:sz w:val="20"/>
                <w:szCs w:val="20"/>
                <w:shd w:fill="auto" w:val="clear"/>
              </w:rPr>
              <w:t>д.Алексеевка, Большая Красавка,  п.Варваринка, п.Горьковский, д.Карамышево, д.Катерево, д.Красное, д.Малая Красавка, п.Механизаторов, с.Нарышкино, д.Новоселки, п. Приволье, д.Суры, д.Сухой Ручей, д.Хомутовка.</w:t>
            </w:r>
          </w:p>
          <w:p>
            <w:pPr>
              <w:pStyle w:val="Normal"/>
              <w:widowControl w:val="false"/>
              <w:spacing w:lineRule="auto" w:line="240"/>
              <w:jc w:val="left"/>
              <w:rPr/>
            </w:pPr>
            <w:r>
              <w:rPr>
                <w:rStyle w:val="Style14"/>
                <w:rFonts w:eastAsia="Times New Roman" w:cs="Times New Roman"/>
                <w:b/>
                <w:bCs/>
                <w:color w:val="000000"/>
                <w:kern w:val="0"/>
                <w:sz w:val="20"/>
                <w:szCs w:val="20"/>
                <w:shd w:fill="auto" w:val="clear"/>
                <w:lang w:val="ru-RU" w:eastAsia="ru-RU" w:bidi="ar-SA"/>
              </w:rPr>
              <w:t>Плавский район</w:t>
            </w:r>
            <w:r>
              <w:rPr>
                <w:rStyle w:val="Style14"/>
                <w:rFonts w:eastAsia="Times New Roman" w:cs="Times New Roman"/>
                <w:b w:val="false"/>
                <w:bCs/>
                <w:color w:val="000000"/>
                <w:kern w:val="0"/>
                <w:sz w:val="20"/>
                <w:szCs w:val="20"/>
                <w:shd w:fill="auto" w:val="clear"/>
                <w:lang w:val="ru-RU" w:eastAsia="ru-RU" w:bidi="ar-SA"/>
              </w:rPr>
              <w:t xml:space="preserve">: </w:t>
            </w:r>
            <w:r>
              <w:rPr>
                <w:rFonts w:eastAsia="Times New Roman" w:cs="Times New Roman"/>
                <w:color w:val="000000"/>
                <w:kern w:val="0"/>
                <w:sz w:val="20"/>
                <w:szCs w:val="20"/>
                <w:shd w:fill="auto" w:val="clear"/>
                <w:lang w:val="ru-RU" w:eastAsia="ru-RU" w:bidi="ar-SA"/>
              </w:rPr>
              <w:t>д.Александровка, п.Александровка, д.Василевка, д.Волхонщино, с.Камынино, п.Красная Нива, д.Крекшино, д.Нижние Мармыжи, п.Новоселки, п.Октябрьский, п.Первое Мая, с.Сорочинка  д.Юрьево, п.Юрьевский.</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lang w:eastAsia="ru-RU"/>
              </w:rPr>
            </w:pPr>
            <w:hyperlink r:id="rId2">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Тиофанат-метил</w:t>
              </w:r>
            </w:hyperlink>
            <w:r>
              <w:rPr>
                <w:rFonts w:eastAsia="Times New Roman" w:cs="Times New Roman"/>
                <w:b w:val="false"/>
                <w:bCs w:val="false"/>
                <w:i w:val="false"/>
                <w:caps w:val="false"/>
                <w:smallCaps w:val="false"/>
                <w:color w:val="auto"/>
                <w:spacing w:val="0"/>
                <w:kern w:val="0"/>
                <w:sz w:val="24"/>
                <w:szCs w:val="24"/>
                <w:lang w:val="ru-RU" w:eastAsia="ru-RU" w:bidi="ar-SA"/>
              </w:rPr>
              <w:t xml:space="preserve"> </w:t>
            </w:r>
            <w:r>
              <w:rPr>
                <w:rFonts w:eastAsia="Times New Roman" w:cs="Times New Roman"/>
                <w:b w:val="false"/>
                <w:bCs w:val="false"/>
                <w:color w:val="auto"/>
                <w:kern w:val="0"/>
                <w:sz w:val="24"/>
                <w:szCs w:val="24"/>
                <w:lang w:val="ru-RU" w:eastAsia="ru-RU" w:bidi="ar-SA"/>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t>Горбунов Алексей Владимирович</w:t>
            </w:r>
          </w:p>
          <w:p>
            <w:pPr>
              <w:pStyle w:val="Normal"/>
              <w:widowControl w:val="false"/>
              <w:spacing w:before="57" w:after="57"/>
              <w:jc w:val="center"/>
              <w:rPr>
                <w:rFonts w:ascii="Times New Roman" w:hAnsi="Times New Roman"/>
              </w:rPr>
            </w:pPr>
            <w:r>
              <w:rPr/>
              <w:t xml:space="preserve">8-910-150-05-35  </w:t>
            </w:r>
          </w:p>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3">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2,4-Д (2-этилгексиловый эфир)</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4">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Флорасулам</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5">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Трибенурон-метил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6">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Лямбда-цигалотрин</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1</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7">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Клодинафоп-пропаргил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8">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Клоквинтосет-мексил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9">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Феноксапроп-П-этил</w:t>
              </w:r>
            </w:hyperlink>
            <w:r>
              <w:rPr>
                <w:rFonts w:eastAsia="Times New Roman" w:cs="Times New Roman"/>
                <w:b w:val="false"/>
                <w:bCs w:val="false"/>
                <w:color w:val="auto"/>
                <w:kern w:val="0"/>
                <w:sz w:val="24"/>
                <w:szCs w:val="24"/>
                <w:lang w:val="ru-RU" w:eastAsia="ru-RU" w:bidi="ar-SA"/>
              </w:rPr>
              <w:t xml:space="preserve"> </w:t>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bl>
    <w:p>
      <w:pPr>
        <w:pStyle w:val="Normal"/>
        <w:pageBreakBefore w:val="false"/>
        <w:rPr/>
      </w:pPr>
      <w:r>
        <w:rPr/>
      </w:r>
    </w:p>
    <w:sectPr>
      <w:type w:val="nextPage"/>
      <w:pgSz w:orient="landscape" w:w="16838" w:h="11906"/>
      <w:pgMar w:left="1134" w:right="170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Astra Serif">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c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thiophanate-methyl" TargetMode="External"/><Relationship Id="rId3" Type="http://schemas.openxmlformats.org/officeDocument/2006/relationships/hyperlink" Target="https://www.pesticidy.ru/active_substance/ethylhexyl" TargetMode="External"/><Relationship Id="rId4" Type="http://schemas.openxmlformats.org/officeDocument/2006/relationships/hyperlink" Target="https://www.pesticidy.ru/active_substance/florasulam" TargetMode="External"/><Relationship Id="rId5" Type="http://schemas.openxmlformats.org/officeDocument/2006/relationships/hyperlink" Target="https://www.pesticidy.ru/active_substance/tribenuron-methyl" TargetMode="External"/><Relationship Id="rId6" Type="http://schemas.openxmlformats.org/officeDocument/2006/relationships/hyperlink" Target="https://www.pesticidy.ru/active_substance/lambda-cyhalothrin" TargetMode="External"/><Relationship Id="rId7" Type="http://schemas.openxmlformats.org/officeDocument/2006/relationships/hyperlink" Target="https://www.pesticidy.ru/active_substance/clodinafop-propargyl" TargetMode="External"/><Relationship Id="rId8" Type="http://schemas.openxmlformats.org/officeDocument/2006/relationships/hyperlink" Target="https://www.pesticidy.ru/active_substance/cloquintocet-Mex" TargetMode="External"/><Relationship Id="rId9" Type="http://schemas.openxmlformats.org/officeDocument/2006/relationships/hyperlink" Target="https://www.pesticidy.ru/active_substance/fenoxaprop-P-ethyl"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Application>LibreOffice/7.0.4.2$Windows_X86_64 LibreOffice_project/dcf040e67528d9187c66b2379df5ea4407429775</Application>
  <AppVersion>15.0000</AppVersion>
  <Pages>2</Pages>
  <Words>212</Words>
  <Characters>1914</Characters>
  <CharactersWithSpaces>2136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2022-05-11T09:58:00Z</dcterms:created>
  <dc:creator>Пользователь</dc:creator>
  <dc:description/>
  <dc:language>ru-RU</dc:language>
  <cp:lastModifiedBy/>
  <dcterms:modified xsi:type="dcterms:W3CDTF">2023-05-10T08:58:26Z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